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3B2" w:rsidRPr="00683CEB" w:rsidRDefault="001863B2" w:rsidP="001863B2">
      <w:pPr>
        <w:spacing w:after="0" w:line="240" w:lineRule="auto"/>
        <w:jc w:val="center"/>
        <w:rPr>
          <w:rFonts w:ascii="Times New Roman" w:hAnsi="Times New Roman" w:cs="Times New Roman"/>
          <w:b/>
        </w:rPr>
      </w:pPr>
      <w:r w:rsidRPr="00683CEB">
        <w:rPr>
          <w:rFonts w:ascii="Times New Roman" w:hAnsi="Times New Roman" w:cs="Times New Roman"/>
          <w:b/>
        </w:rPr>
        <w:t xml:space="preserve">PRANEŠIMAS </w:t>
      </w:r>
    </w:p>
    <w:p w:rsidR="001863B2" w:rsidRPr="00683CEB" w:rsidRDefault="001863B2" w:rsidP="001863B2">
      <w:pPr>
        <w:spacing w:after="0" w:line="240" w:lineRule="auto"/>
        <w:jc w:val="center"/>
        <w:rPr>
          <w:rFonts w:ascii="Times New Roman" w:hAnsi="Times New Roman" w:cs="Times New Roman"/>
          <w:b/>
        </w:rPr>
      </w:pPr>
      <w:r w:rsidRPr="00683CEB">
        <w:rPr>
          <w:rFonts w:ascii="Times New Roman" w:hAnsi="Times New Roman" w:cs="Times New Roman"/>
          <w:b/>
        </w:rPr>
        <w:t xml:space="preserve">DĖL ASMENŲ PRAŠYMŲ, PAKLAUSIMŲ PATEIKIMO ANTSTOLIŲ KONTORAI </w:t>
      </w:r>
    </w:p>
    <w:p w:rsidR="001863B2" w:rsidRDefault="001863B2" w:rsidP="001863B2">
      <w:pPr>
        <w:spacing w:after="0" w:line="240" w:lineRule="auto"/>
        <w:jc w:val="center"/>
        <w:rPr>
          <w:rFonts w:ascii="Times New Roman" w:hAnsi="Times New Roman" w:cs="Times New Roman"/>
          <w:b/>
        </w:rPr>
      </w:pPr>
      <w:r w:rsidRPr="00683CEB">
        <w:rPr>
          <w:rFonts w:ascii="Times New Roman" w:hAnsi="Times New Roman" w:cs="Times New Roman"/>
          <w:b/>
        </w:rPr>
        <w:t>TVARKOS</w:t>
      </w:r>
    </w:p>
    <w:p w:rsidR="001863B2" w:rsidRPr="00683CEB" w:rsidRDefault="001863B2" w:rsidP="001863B2">
      <w:pPr>
        <w:spacing w:after="0" w:line="240" w:lineRule="auto"/>
        <w:jc w:val="center"/>
        <w:rPr>
          <w:rFonts w:ascii="Times New Roman" w:hAnsi="Times New Roman" w:cs="Times New Roman"/>
        </w:rPr>
      </w:pPr>
    </w:p>
    <w:p w:rsidR="001863B2" w:rsidRPr="00683CEB" w:rsidRDefault="001863B2" w:rsidP="001863B2">
      <w:pPr>
        <w:spacing w:after="0" w:line="240" w:lineRule="auto"/>
        <w:ind w:firstLine="426"/>
        <w:jc w:val="both"/>
        <w:rPr>
          <w:rFonts w:ascii="Times New Roman" w:hAnsi="Times New Roman" w:cs="Times New Roman"/>
          <w:bCs/>
          <w:shd w:val="clear" w:color="auto" w:fill="FFFFFF"/>
        </w:rPr>
      </w:pPr>
      <w:r w:rsidRPr="00683CEB">
        <w:rPr>
          <w:rFonts w:ascii="Times New Roman" w:hAnsi="Times New Roman" w:cs="Times New Roman"/>
        </w:rPr>
        <w:t xml:space="preserve">Antstolių Aleksandro Selezniovo ir Santos Selezniovienės kontora, vadovaudamasi 2016 m. balandžio 27 d. Europos Parlamento ir Tarybos reglamento (ES) 2016/679 „dėl fizinių asmenų apsaugos tvarkant asmens duomenis ir dėl laisvo tokių duomenų judėjimo </w:t>
      </w:r>
      <w:r w:rsidRPr="00683CEB">
        <w:rPr>
          <w:rFonts w:ascii="Times New Roman" w:hAnsi="Times New Roman" w:cs="Times New Roman"/>
          <w:bCs/>
          <w:shd w:val="clear" w:color="auto" w:fill="FFFFFF"/>
        </w:rPr>
        <w:t>ir kuriuo panaikinama Direktyva 95/46/EB“ nuostatomis, informuoja, kad:</w:t>
      </w:r>
    </w:p>
    <w:p w:rsidR="001863B2" w:rsidRPr="00683CEB" w:rsidRDefault="001863B2" w:rsidP="001863B2">
      <w:pPr>
        <w:spacing w:after="0" w:line="240" w:lineRule="auto"/>
        <w:jc w:val="both"/>
        <w:rPr>
          <w:rFonts w:ascii="Times New Roman" w:hAnsi="Times New Roman" w:cs="Times New Roman"/>
        </w:rPr>
      </w:pPr>
      <w:r w:rsidRPr="00683CEB">
        <w:rPr>
          <w:rFonts w:ascii="Times New Roman" w:hAnsi="Times New Roman" w:cs="Times New Roman"/>
        </w:rPr>
        <w:t xml:space="preserve">       Antstolių Aleksandro Selezniovo ir Santos Selezniovienės kontoroje (toliau „Antstolių kontora“) suinteresuotų asmenų prašymų, paklausimų  priėmimui ir atsakymų pateikimui yra taikomos šios nuostatos:</w:t>
      </w:r>
    </w:p>
    <w:p w:rsidR="001863B2" w:rsidRPr="00683CEB" w:rsidRDefault="001863B2" w:rsidP="001863B2">
      <w:pPr>
        <w:numPr>
          <w:ilvl w:val="0"/>
          <w:numId w:val="2"/>
        </w:numPr>
        <w:spacing w:after="0" w:line="240" w:lineRule="auto"/>
        <w:jc w:val="both"/>
        <w:rPr>
          <w:rFonts w:ascii="Times New Roman" w:hAnsi="Times New Roman" w:cs="Times New Roman"/>
        </w:rPr>
      </w:pPr>
      <w:r w:rsidRPr="00683CEB">
        <w:rPr>
          <w:rFonts w:ascii="Times New Roman" w:hAnsi="Times New Roman" w:cs="Times New Roman"/>
        </w:rPr>
        <w:t xml:space="preserve">Suinteresuotiems asmenims telefonu teikiama tik </w:t>
      </w:r>
      <w:r w:rsidRPr="00683CEB">
        <w:rPr>
          <w:rFonts w:ascii="Times New Roman" w:hAnsi="Times New Roman" w:cs="Times New Roman"/>
          <w:b/>
          <w:u w:val="single"/>
        </w:rPr>
        <w:t>bendro pobūdžio informacija</w:t>
      </w:r>
      <w:r w:rsidRPr="00683CEB">
        <w:rPr>
          <w:rFonts w:ascii="Times New Roman" w:hAnsi="Times New Roman" w:cs="Times New Roman"/>
        </w:rPr>
        <w:t>, įskaitant, bet neapsiribojant, informacija apie Antstolių kontoros darbo laiką, suinteresuotų asmenų priėmimo laiką, prašymų, paklausimų, skundų, vykdomųjų dokumentų pateikimo, gavimo, priėmimo, nagrinėjimo tvarką, gavimo datą, laisvai disponuojamos sumos, kuria asmuo gali disponuoti per vieną kalendorinį mėnesį, nustatymo tvarką, CPK nustatytus išskaitų iš gaunamų lėšų dydžius, faktinių aplinkybių konstatavimą, procesinių dokumentų įteikimą ir kitas Antstolių kontoros atliekamas funkcijas bei teikiamas paslaugas.</w:t>
      </w:r>
    </w:p>
    <w:p w:rsidR="001863B2" w:rsidRPr="00683CEB" w:rsidRDefault="001863B2" w:rsidP="001863B2">
      <w:pPr>
        <w:numPr>
          <w:ilvl w:val="0"/>
          <w:numId w:val="2"/>
        </w:numPr>
        <w:spacing w:after="0" w:line="240" w:lineRule="auto"/>
        <w:jc w:val="both"/>
        <w:rPr>
          <w:rFonts w:ascii="Times New Roman" w:hAnsi="Times New Roman" w:cs="Times New Roman"/>
        </w:rPr>
      </w:pPr>
      <w:r w:rsidRPr="00683CEB">
        <w:rPr>
          <w:rFonts w:ascii="Times New Roman" w:hAnsi="Times New Roman" w:cs="Times New Roman"/>
        </w:rPr>
        <w:t xml:space="preserve">Suinteresuotas asmuo, pageidaujantis  gauti visą kitą, šio pranešimo 1 punkte nenurodytą, su atitinkama suinteresuoto asmens vykdomąja byla susijusią informaciją, Antstolių kontorai privalo pateikti rašytinį prašymą, paklausimą, bet kokios kitos formos rašytinį dokumentą (toliau – „prašymas“) ir patvirtinti savo asmens tapatybę. Prašymas turi būti įskaitomas bei pasirašytas to suinteresuoto asmens, kurio vardu yra vykdomoji byla, arba jo įgalioto atstovo (tokiu atveju prie prašymo pridedamas įstatymų nustatyta tvarka patvirtintas įgaliojimas, sutartis su advokatu, advokato padėjėju, kitas atstovavimo pagrindą patvirtinantis dokumentas – originalas arba teisės aktų nustatyta tvarka patvirtinta kopija, nuorašas ar išrašas). Prašyme turi būti nurodytas asmens vardas, pavardė, gimimo data ir/ar vykdomosios bylos numeris, taip pat asmens kontaktiniai duomenys.  </w:t>
      </w:r>
    </w:p>
    <w:p w:rsidR="001863B2" w:rsidRPr="00683CEB" w:rsidRDefault="001863B2" w:rsidP="001863B2">
      <w:pPr>
        <w:numPr>
          <w:ilvl w:val="0"/>
          <w:numId w:val="2"/>
        </w:numPr>
        <w:spacing w:after="0" w:line="240" w:lineRule="auto"/>
        <w:jc w:val="both"/>
        <w:rPr>
          <w:rFonts w:ascii="Times New Roman" w:hAnsi="Times New Roman" w:cs="Times New Roman"/>
        </w:rPr>
      </w:pPr>
      <w:r w:rsidRPr="00683CEB">
        <w:rPr>
          <w:rFonts w:ascii="Times New Roman" w:hAnsi="Times New Roman" w:cs="Times New Roman"/>
        </w:rPr>
        <w:t>Asmens tapatybė gali būti patvirtin</w:t>
      </w:r>
      <w:r>
        <w:rPr>
          <w:rFonts w:ascii="Times New Roman" w:hAnsi="Times New Roman" w:cs="Times New Roman"/>
        </w:rPr>
        <w:t>t</w:t>
      </w:r>
      <w:r w:rsidRPr="00683CEB">
        <w:rPr>
          <w:rFonts w:ascii="Times New Roman" w:hAnsi="Times New Roman" w:cs="Times New Roman"/>
        </w:rPr>
        <w:t>a sekančiai:</w:t>
      </w:r>
    </w:p>
    <w:p w:rsidR="001863B2" w:rsidRPr="00683CEB" w:rsidRDefault="001863B2" w:rsidP="001863B2">
      <w:pPr>
        <w:numPr>
          <w:ilvl w:val="1"/>
          <w:numId w:val="2"/>
        </w:numPr>
        <w:tabs>
          <w:tab w:val="num" w:pos="426"/>
          <w:tab w:val="num" w:pos="1260"/>
        </w:tabs>
        <w:spacing w:after="0" w:line="240" w:lineRule="auto"/>
        <w:ind w:left="1260" w:hanging="693"/>
        <w:jc w:val="both"/>
        <w:rPr>
          <w:rFonts w:ascii="Times New Roman" w:hAnsi="Times New Roman" w:cs="Times New Roman"/>
        </w:rPr>
      </w:pPr>
      <w:r w:rsidRPr="00683CEB">
        <w:rPr>
          <w:rFonts w:ascii="Times New Roman" w:hAnsi="Times New Roman" w:cs="Times New Roman"/>
          <w:b/>
          <w:i/>
          <w:u w:val="single"/>
        </w:rPr>
        <w:t>Asmeniškai atvykus į antstolių kontorą.</w:t>
      </w:r>
      <w:r w:rsidRPr="00683CEB">
        <w:rPr>
          <w:rFonts w:ascii="Times New Roman" w:hAnsi="Times New Roman" w:cs="Times New Roman"/>
        </w:rPr>
        <w:t xml:space="preserve"> Jei prašymas pateikiamas tiesiogiai atvykus į antstolių kontorą, asmuo antstolių kontoros darbuotojams privalo pateikti asmens tapatybę patvirtinantį dokumentą;</w:t>
      </w:r>
    </w:p>
    <w:p w:rsidR="001863B2" w:rsidRPr="00683CEB" w:rsidRDefault="001863B2" w:rsidP="001863B2">
      <w:pPr>
        <w:numPr>
          <w:ilvl w:val="1"/>
          <w:numId w:val="2"/>
        </w:numPr>
        <w:tabs>
          <w:tab w:val="num" w:pos="1260"/>
        </w:tabs>
        <w:spacing w:after="0" w:line="240" w:lineRule="auto"/>
        <w:ind w:left="1260" w:hanging="720"/>
        <w:jc w:val="both"/>
        <w:rPr>
          <w:rFonts w:ascii="Times New Roman" w:hAnsi="Times New Roman" w:cs="Times New Roman"/>
        </w:rPr>
      </w:pPr>
      <w:r w:rsidRPr="00683CEB">
        <w:rPr>
          <w:rFonts w:ascii="Times New Roman" w:hAnsi="Times New Roman" w:cs="Times New Roman"/>
          <w:b/>
          <w:i/>
          <w:u w:val="single"/>
        </w:rPr>
        <w:t>Paštu.</w:t>
      </w:r>
      <w:r w:rsidRPr="00683CEB">
        <w:rPr>
          <w:rFonts w:ascii="Times New Roman" w:hAnsi="Times New Roman" w:cs="Times New Roman"/>
        </w:rPr>
        <w:t xml:space="preserve"> Jei prašymas pateikiamas paštu – dokumente pasirašiusio asmens parašo tikrumas turi būti paliudytas notaro ar seniūno (Lietuvos Respublikos Notariato įstatymo 26 str., 5 p., ir </w:t>
      </w:r>
      <w:r w:rsidRPr="00683CEB">
        <w:rPr>
          <w:rFonts w:ascii="Times New Roman" w:hAnsi="Times New Roman" w:cs="Times New Roman"/>
          <w:bCs/>
        </w:rPr>
        <w:t>27</w:t>
      </w:r>
      <w:r w:rsidRPr="00683CEB">
        <w:rPr>
          <w:rFonts w:ascii="Times New Roman" w:hAnsi="Times New Roman" w:cs="Times New Roman"/>
          <w:bCs/>
          <w:vertAlign w:val="superscript"/>
        </w:rPr>
        <w:t xml:space="preserve">(1)  </w:t>
      </w:r>
      <w:r w:rsidRPr="00683CEB">
        <w:rPr>
          <w:rFonts w:ascii="Times New Roman" w:hAnsi="Times New Roman" w:cs="Times New Roman"/>
        </w:rPr>
        <w:t>str. 3 p.)</w:t>
      </w:r>
    </w:p>
    <w:p w:rsidR="001863B2" w:rsidRPr="00683CEB" w:rsidRDefault="001863B2" w:rsidP="001863B2">
      <w:pPr>
        <w:numPr>
          <w:ilvl w:val="1"/>
          <w:numId w:val="2"/>
        </w:numPr>
        <w:tabs>
          <w:tab w:val="num" w:pos="1260"/>
        </w:tabs>
        <w:spacing w:after="0" w:line="240" w:lineRule="auto"/>
        <w:ind w:left="1260" w:hanging="720"/>
        <w:jc w:val="both"/>
        <w:rPr>
          <w:rFonts w:ascii="Times New Roman" w:hAnsi="Times New Roman" w:cs="Times New Roman"/>
        </w:rPr>
      </w:pPr>
      <w:r w:rsidRPr="00683CEB">
        <w:rPr>
          <w:rFonts w:ascii="Times New Roman" w:hAnsi="Times New Roman" w:cs="Times New Roman"/>
          <w:b/>
          <w:i/>
          <w:u w:val="single"/>
        </w:rPr>
        <w:t>Per atstovą.</w:t>
      </w:r>
      <w:r w:rsidRPr="00683CEB">
        <w:rPr>
          <w:rFonts w:ascii="Times New Roman" w:hAnsi="Times New Roman" w:cs="Times New Roman"/>
        </w:rPr>
        <w:t xml:space="preserve"> Jei prašymas teikiamas per atstovą, kartu su prašymu turi būti pateikiamas atstovavimo pagrindą patvirtinantis dokumentas – originalas arba teisės aktų nustatyta tvarka patvirtinta atstovavimo dokumento kopija, nuorašas ar išrašas.</w:t>
      </w:r>
    </w:p>
    <w:p w:rsidR="001863B2" w:rsidRPr="00683CEB" w:rsidRDefault="001863B2" w:rsidP="001863B2">
      <w:pPr>
        <w:numPr>
          <w:ilvl w:val="1"/>
          <w:numId w:val="2"/>
        </w:numPr>
        <w:tabs>
          <w:tab w:val="num" w:pos="1260"/>
        </w:tabs>
        <w:spacing w:after="0" w:line="240" w:lineRule="auto"/>
        <w:ind w:left="1260" w:hanging="720"/>
        <w:jc w:val="both"/>
        <w:rPr>
          <w:rFonts w:ascii="Times New Roman" w:hAnsi="Times New Roman" w:cs="Times New Roman"/>
        </w:rPr>
      </w:pPr>
      <w:r w:rsidRPr="00683CEB">
        <w:rPr>
          <w:rFonts w:ascii="Times New Roman" w:hAnsi="Times New Roman" w:cs="Times New Roman"/>
          <w:b/>
          <w:i/>
          <w:u w:val="single"/>
        </w:rPr>
        <w:t>Elektroninių ryšių priemonėmis</w:t>
      </w:r>
      <w:r w:rsidRPr="00683CEB">
        <w:rPr>
          <w:rFonts w:ascii="Times New Roman" w:hAnsi="Times New Roman" w:cs="Times New Roman"/>
        </w:rPr>
        <w:t xml:space="preserve">. Jei prašymas pateikiamas elektroninių ryšių priemonėmis – jis turi būti pasirašytas saugiu elektroniniu parašu. Saugiu </w:t>
      </w:r>
      <w:r w:rsidRPr="00683CEB">
        <w:rPr>
          <w:rFonts w:ascii="Times New Roman" w:hAnsi="Times New Roman" w:cs="Times New Roman"/>
          <w:bCs/>
        </w:rPr>
        <w:t xml:space="preserve">elektroniniu parašu pasirašyti dokumentai antstolių kontorai turi būti siunčiami el. paštu: </w:t>
      </w:r>
      <w:hyperlink r:id="rId6" w:history="1">
        <w:r w:rsidRPr="00683CEB">
          <w:rPr>
            <w:rStyle w:val="Hyperlink"/>
            <w:rFonts w:ascii="Times New Roman" w:hAnsi="Times New Roman" w:cs="Times New Roman"/>
            <w:bCs/>
            <w:color w:val="auto"/>
          </w:rPr>
          <w:t>pastas@antstolis.net</w:t>
        </w:r>
      </w:hyperlink>
      <w:r w:rsidRPr="00683CEB">
        <w:rPr>
          <w:rFonts w:ascii="Times New Roman" w:hAnsi="Times New Roman" w:cs="Times New Roman"/>
          <w:bCs/>
        </w:rPr>
        <w:t>.</w:t>
      </w:r>
    </w:p>
    <w:p w:rsidR="001863B2" w:rsidRPr="00683CEB" w:rsidRDefault="001863B2" w:rsidP="001863B2">
      <w:pPr>
        <w:numPr>
          <w:ilvl w:val="1"/>
          <w:numId w:val="2"/>
        </w:numPr>
        <w:tabs>
          <w:tab w:val="num" w:pos="1260"/>
        </w:tabs>
        <w:spacing w:after="0" w:line="240" w:lineRule="auto"/>
        <w:ind w:left="1260" w:hanging="720"/>
        <w:jc w:val="both"/>
        <w:rPr>
          <w:rFonts w:ascii="Times New Roman" w:hAnsi="Times New Roman" w:cs="Times New Roman"/>
        </w:rPr>
      </w:pPr>
      <w:r w:rsidRPr="00683CEB">
        <w:rPr>
          <w:rFonts w:ascii="Times New Roman" w:hAnsi="Times New Roman" w:cs="Times New Roman"/>
          <w:bCs/>
        </w:rPr>
        <w:t xml:space="preserve">Prašymas taip pat gali būti pateiktas per vykdomosios bylos portalą </w:t>
      </w:r>
      <w:r w:rsidRPr="00683CEB">
        <w:rPr>
          <w:rFonts w:ascii="Times New Roman" w:hAnsi="Times New Roman" w:cs="Times New Roman"/>
          <w:bCs/>
          <w:u w:val="single"/>
        </w:rPr>
        <w:t>www.antstoliai.lt</w:t>
      </w:r>
    </w:p>
    <w:p w:rsidR="001863B2" w:rsidRPr="00683CEB" w:rsidRDefault="001863B2" w:rsidP="001863B2">
      <w:pPr>
        <w:numPr>
          <w:ilvl w:val="1"/>
          <w:numId w:val="2"/>
        </w:numPr>
        <w:tabs>
          <w:tab w:val="num" w:pos="1260"/>
        </w:tabs>
        <w:spacing w:after="0" w:line="240" w:lineRule="auto"/>
        <w:ind w:left="1260" w:hanging="720"/>
        <w:jc w:val="both"/>
        <w:rPr>
          <w:rFonts w:ascii="Times New Roman" w:hAnsi="Times New Roman" w:cs="Times New Roman"/>
          <w:b/>
          <w:u w:val="single"/>
        </w:rPr>
      </w:pPr>
      <w:r w:rsidRPr="00683CEB">
        <w:rPr>
          <w:rFonts w:ascii="Times New Roman" w:hAnsi="Times New Roman" w:cs="Times New Roman"/>
          <w:b/>
          <w:i/>
          <w:u w:val="single"/>
        </w:rPr>
        <w:t>Prašymai ir paklausimai taip pat priimami ir elektroniniu paštu.</w:t>
      </w:r>
      <w:r w:rsidRPr="00683CEB">
        <w:rPr>
          <w:rFonts w:ascii="Times New Roman" w:hAnsi="Times New Roman" w:cs="Times New Roman"/>
        </w:rPr>
        <w:t xml:space="preserve"> </w:t>
      </w:r>
    </w:p>
    <w:p w:rsidR="001863B2" w:rsidRPr="00683CEB" w:rsidRDefault="001863B2" w:rsidP="001863B2">
      <w:pPr>
        <w:pBdr>
          <w:top w:val="single" w:sz="4" w:space="1" w:color="auto"/>
          <w:left w:val="single" w:sz="4" w:space="31" w:color="auto"/>
          <w:bottom w:val="single" w:sz="4" w:space="1" w:color="auto"/>
          <w:right w:val="single" w:sz="4" w:space="4" w:color="auto"/>
        </w:pBdr>
        <w:shd w:val="clear" w:color="auto" w:fill="D9D9D9"/>
        <w:spacing w:after="0" w:line="240" w:lineRule="auto"/>
        <w:ind w:left="1259"/>
        <w:jc w:val="center"/>
        <w:rPr>
          <w:rFonts w:ascii="Times New Roman" w:hAnsi="Times New Roman" w:cs="Times New Roman"/>
          <w:b/>
        </w:rPr>
      </w:pPr>
      <w:r w:rsidRPr="00683CEB">
        <w:rPr>
          <w:rFonts w:ascii="Times New Roman" w:hAnsi="Times New Roman" w:cs="Times New Roman"/>
          <w:b/>
        </w:rPr>
        <w:t xml:space="preserve">INFORMUOJAME, </w:t>
      </w:r>
    </w:p>
    <w:p w:rsidR="001863B2" w:rsidRPr="00683CEB" w:rsidRDefault="001863B2" w:rsidP="001863B2">
      <w:pPr>
        <w:pBdr>
          <w:top w:val="single" w:sz="4" w:space="1" w:color="auto"/>
          <w:left w:val="single" w:sz="4" w:space="31" w:color="auto"/>
          <w:bottom w:val="single" w:sz="4" w:space="1" w:color="auto"/>
          <w:right w:val="single" w:sz="4" w:space="4" w:color="auto"/>
        </w:pBdr>
        <w:shd w:val="clear" w:color="auto" w:fill="D9D9D9"/>
        <w:spacing w:after="0" w:line="240" w:lineRule="auto"/>
        <w:ind w:left="1259"/>
        <w:jc w:val="center"/>
        <w:rPr>
          <w:rFonts w:ascii="Times New Roman" w:hAnsi="Times New Roman" w:cs="Times New Roman"/>
          <w:b/>
          <w:u w:val="single"/>
        </w:rPr>
      </w:pPr>
      <w:r w:rsidRPr="00683CEB">
        <w:rPr>
          <w:rFonts w:ascii="Times New Roman" w:hAnsi="Times New Roman" w:cs="Times New Roman"/>
        </w:rPr>
        <w:t xml:space="preserve">kad norint teikti prašymus, paklausimus, gauti visus procesinius vykdomosios bylos dokumentus </w:t>
      </w:r>
      <w:r w:rsidRPr="00683CEB">
        <w:rPr>
          <w:rFonts w:ascii="Times New Roman" w:hAnsi="Times New Roman" w:cs="Times New Roman"/>
          <w:b/>
          <w:i/>
          <w:u w:val="single"/>
        </w:rPr>
        <w:t>elektroninio pašto pagalba (visu vykdomosios bylos vykdymo laikotarpiu)</w:t>
      </w:r>
      <w:r w:rsidRPr="00683CEB">
        <w:rPr>
          <w:rFonts w:ascii="Times New Roman" w:hAnsi="Times New Roman" w:cs="Times New Roman"/>
        </w:rPr>
        <w:t xml:space="preserve"> suinteresuotas asmuo privalo Antstolių kontorai pateikti nustatytos formos prašymą „dėl procesinių dokumentų įteikimo elektroninėmis ryšio priemonėmis“ (pridedamas).</w:t>
      </w:r>
      <w:r w:rsidRPr="00683CEB">
        <w:rPr>
          <w:rFonts w:ascii="Times New Roman" w:hAnsi="Times New Roman" w:cs="Times New Roman"/>
          <w:b/>
        </w:rPr>
        <w:t xml:space="preserve"> </w:t>
      </w:r>
      <w:r w:rsidRPr="00683CEB">
        <w:rPr>
          <w:rFonts w:ascii="Times New Roman" w:hAnsi="Times New Roman" w:cs="Times New Roman"/>
        </w:rPr>
        <w:t xml:space="preserve">Prašymo </w:t>
      </w:r>
      <w:r w:rsidRPr="00683CEB">
        <w:rPr>
          <w:rFonts w:ascii="Times New Roman" w:hAnsi="Times New Roman" w:cs="Times New Roman"/>
          <w:color w:val="222222"/>
        </w:rPr>
        <w:t xml:space="preserve">formą taip pat </w:t>
      </w:r>
      <w:r w:rsidRPr="00683CEB">
        <w:rPr>
          <w:rFonts w:ascii="Times New Roman" w:hAnsi="Times New Roman" w:cs="Times New Roman"/>
        </w:rPr>
        <w:t xml:space="preserve">rasite Antstolių kontoros interneto svetainėje adresu: </w:t>
      </w:r>
      <w:hyperlink r:id="rId7" w:history="1">
        <w:r w:rsidRPr="00683CEB">
          <w:rPr>
            <w:rStyle w:val="Hyperlink"/>
            <w:rFonts w:ascii="Times New Roman" w:hAnsi="Times New Roman" w:cs="Times New Roman"/>
          </w:rPr>
          <w:t>www.antstolis.net</w:t>
        </w:r>
      </w:hyperlink>
    </w:p>
    <w:p w:rsidR="001863B2" w:rsidRPr="00683CEB" w:rsidRDefault="001863B2" w:rsidP="001863B2">
      <w:pPr>
        <w:pBdr>
          <w:top w:val="single" w:sz="4" w:space="1" w:color="auto"/>
          <w:left w:val="single" w:sz="4" w:space="31" w:color="auto"/>
          <w:bottom w:val="single" w:sz="4" w:space="1" w:color="auto"/>
          <w:right w:val="single" w:sz="4" w:space="4" w:color="auto"/>
        </w:pBdr>
        <w:shd w:val="clear" w:color="auto" w:fill="D9D9D9"/>
        <w:spacing w:after="0" w:line="240" w:lineRule="auto"/>
        <w:ind w:left="1259"/>
        <w:jc w:val="center"/>
        <w:rPr>
          <w:rFonts w:ascii="Times New Roman" w:hAnsi="Times New Roman" w:cs="Times New Roman"/>
          <w:b/>
        </w:rPr>
      </w:pPr>
      <w:r w:rsidRPr="00683CEB">
        <w:rPr>
          <w:rFonts w:ascii="Times New Roman" w:hAnsi="Times New Roman" w:cs="Times New Roman"/>
          <w:b/>
        </w:rPr>
        <w:t>Prašymas „Dėl procesinių dokumentų įteikimo elektroninėmis ryšio priemonėmis“ gali būti pateiktas:</w:t>
      </w:r>
    </w:p>
    <w:p w:rsidR="001863B2" w:rsidRPr="00683CEB" w:rsidRDefault="001863B2" w:rsidP="001863B2">
      <w:pPr>
        <w:pBdr>
          <w:top w:val="single" w:sz="4" w:space="1" w:color="auto"/>
          <w:left w:val="single" w:sz="4" w:space="31" w:color="auto"/>
          <w:bottom w:val="single" w:sz="4" w:space="1" w:color="auto"/>
          <w:right w:val="single" w:sz="4" w:space="4" w:color="auto"/>
        </w:pBdr>
        <w:shd w:val="clear" w:color="auto" w:fill="D9D9D9"/>
        <w:spacing w:after="0" w:line="240" w:lineRule="auto"/>
        <w:ind w:left="1259"/>
        <w:jc w:val="center"/>
        <w:rPr>
          <w:rFonts w:ascii="Times New Roman" w:hAnsi="Times New Roman" w:cs="Times New Roman"/>
        </w:rPr>
      </w:pPr>
      <w:r w:rsidRPr="00683CEB">
        <w:rPr>
          <w:rFonts w:ascii="Times New Roman" w:hAnsi="Times New Roman" w:cs="Times New Roman"/>
          <w:b/>
          <w:u w:val="single"/>
        </w:rPr>
        <w:t>3.6.1. Atvykus į antstolių kontorą</w:t>
      </w:r>
      <w:r w:rsidRPr="00683CEB">
        <w:rPr>
          <w:rFonts w:ascii="Times New Roman" w:hAnsi="Times New Roman" w:cs="Times New Roman"/>
        </w:rPr>
        <w:t xml:space="preserve"> ir pateikus asmens tapatybę patvirtinantį dokumentą;</w:t>
      </w:r>
    </w:p>
    <w:p w:rsidR="001863B2" w:rsidRPr="00683CEB" w:rsidRDefault="001863B2" w:rsidP="001863B2">
      <w:pPr>
        <w:pBdr>
          <w:top w:val="single" w:sz="4" w:space="1" w:color="auto"/>
          <w:left w:val="single" w:sz="4" w:space="31" w:color="auto"/>
          <w:bottom w:val="single" w:sz="4" w:space="1" w:color="auto"/>
          <w:right w:val="single" w:sz="4" w:space="4" w:color="auto"/>
        </w:pBdr>
        <w:shd w:val="clear" w:color="auto" w:fill="D9D9D9"/>
        <w:spacing w:after="0" w:line="240" w:lineRule="auto"/>
        <w:ind w:left="1259"/>
        <w:jc w:val="center"/>
        <w:rPr>
          <w:rFonts w:ascii="Times New Roman" w:hAnsi="Times New Roman" w:cs="Times New Roman"/>
        </w:rPr>
      </w:pPr>
      <w:r w:rsidRPr="00683CEB">
        <w:rPr>
          <w:rFonts w:ascii="Times New Roman" w:hAnsi="Times New Roman" w:cs="Times New Roman"/>
          <w:b/>
          <w:u w:val="single"/>
        </w:rPr>
        <w:t>3.6.2. Paštu</w:t>
      </w:r>
      <w:r w:rsidRPr="00683CEB">
        <w:rPr>
          <w:rFonts w:ascii="Times New Roman" w:hAnsi="Times New Roman" w:cs="Times New Roman"/>
        </w:rPr>
        <w:t xml:space="preserve"> (šiuo atveju Prašyme „dėl procesinių dokumentų įteikimo elektroninėmis ryšio priemonėmis“ pasirašiusio asmens parašo tikrumas turi būti paliudytas notaro ar seniūno (Lietuvos Respublikos Notariato įstatymo 26 str., 5 p., ir </w:t>
      </w:r>
      <w:r w:rsidRPr="00683CEB">
        <w:rPr>
          <w:rFonts w:ascii="Times New Roman" w:hAnsi="Times New Roman" w:cs="Times New Roman"/>
          <w:bCs/>
        </w:rPr>
        <w:t>27</w:t>
      </w:r>
      <w:r w:rsidRPr="00683CEB">
        <w:rPr>
          <w:rFonts w:ascii="Times New Roman" w:hAnsi="Times New Roman" w:cs="Times New Roman"/>
          <w:bCs/>
          <w:vertAlign w:val="superscript"/>
        </w:rPr>
        <w:t xml:space="preserve">(1)  </w:t>
      </w:r>
      <w:r w:rsidRPr="00683CEB">
        <w:rPr>
          <w:rFonts w:ascii="Times New Roman" w:hAnsi="Times New Roman" w:cs="Times New Roman"/>
        </w:rPr>
        <w:t>str. 3 p.)</w:t>
      </w:r>
    </w:p>
    <w:p w:rsidR="001863B2" w:rsidRPr="00683CEB" w:rsidRDefault="001863B2" w:rsidP="001863B2">
      <w:pPr>
        <w:pBdr>
          <w:top w:val="single" w:sz="4" w:space="1" w:color="auto"/>
          <w:left w:val="single" w:sz="4" w:space="31" w:color="auto"/>
          <w:bottom w:val="single" w:sz="4" w:space="1" w:color="auto"/>
          <w:right w:val="single" w:sz="4" w:space="4" w:color="auto"/>
        </w:pBdr>
        <w:shd w:val="clear" w:color="auto" w:fill="D9D9D9"/>
        <w:spacing w:after="0" w:line="240" w:lineRule="auto"/>
        <w:ind w:left="1259"/>
        <w:jc w:val="center"/>
        <w:rPr>
          <w:rFonts w:ascii="Times New Roman" w:hAnsi="Times New Roman" w:cs="Times New Roman"/>
        </w:rPr>
      </w:pPr>
      <w:r w:rsidRPr="00683CEB">
        <w:rPr>
          <w:rFonts w:ascii="Times New Roman" w:hAnsi="Times New Roman" w:cs="Times New Roman"/>
          <w:b/>
          <w:u w:val="single"/>
        </w:rPr>
        <w:t>3.6.3. Atsiųstas elektroniniu paštu: pastas</w:t>
      </w:r>
      <w:r w:rsidRPr="00683CEB">
        <w:rPr>
          <w:rFonts w:ascii="Times New Roman" w:hAnsi="Times New Roman" w:cs="Times New Roman"/>
          <w:b/>
          <w:u w:val="single"/>
          <w:lang w:val="en-US"/>
        </w:rPr>
        <w:t>@antstolis.net</w:t>
      </w:r>
      <w:r w:rsidRPr="00683CEB">
        <w:rPr>
          <w:rFonts w:ascii="Times New Roman" w:hAnsi="Times New Roman" w:cs="Times New Roman"/>
        </w:rPr>
        <w:t xml:space="preserve"> </w:t>
      </w:r>
    </w:p>
    <w:p w:rsidR="001863B2" w:rsidRPr="00683CEB" w:rsidRDefault="001863B2" w:rsidP="001863B2">
      <w:pPr>
        <w:pBdr>
          <w:top w:val="single" w:sz="4" w:space="1" w:color="auto"/>
          <w:left w:val="single" w:sz="4" w:space="31" w:color="auto"/>
          <w:bottom w:val="single" w:sz="4" w:space="1" w:color="auto"/>
          <w:right w:val="single" w:sz="4" w:space="4" w:color="auto"/>
        </w:pBdr>
        <w:shd w:val="clear" w:color="auto" w:fill="D9D9D9"/>
        <w:spacing w:after="0" w:line="240" w:lineRule="auto"/>
        <w:ind w:left="1259"/>
        <w:jc w:val="center"/>
        <w:rPr>
          <w:rFonts w:ascii="Times New Roman" w:hAnsi="Times New Roman" w:cs="Times New Roman"/>
        </w:rPr>
      </w:pPr>
      <w:r w:rsidRPr="00683CEB">
        <w:rPr>
          <w:rFonts w:ascii="Times New Roman" w:hAnsi="Times New Roman" w:cs="Times New Roman"/>
        </w:rPr>
        <w:t>Elektroniniu paštu siunčiamas dokumentas</w:t>
      </w:r>
    </w:p>
    <w:p w:rsidR="001863B2" w:rsidRPr="00683CEB" w:rsidRDefault="001863B2" w:rsidP="001863B2">
      <w:pPr>
        <w:pBdr>
          <w:top w:val="single" w:sz="4" w:space="1" w:color="auto"/>
          <w:left w:val="single" w:sz="4" w:space="31" w:color="auto"/>
          <w:bottom w:val="single" w:sz="4" w:space="1" w:color="auto"/>
          <w:right w:val="single" w:sz="4" w:space="4" w:color="auto"/>
        </w:pBdr>
        <w:shd w:val="clear" w:color="auto" w:fill="D9D9D9"/>
        <w:spacing w:after="0" w:line="240" w:lineRule="auto"/>
        <w:ind w:left="1259"/>
        <w:jc w:val="center"/>
        <w:rPr>
          <w:rFonts w:ascii="Times New Roman" w:hAnsi="Times New Roman" w:cs="Times New Roman"/>
        </w:rPr>
      </w:pPr>
      <w:r w:rsidRPr="00683CEB">
        <w:rPr>
          <w:rFonts w:ascii="Times New Roman" w:hAnsi="Times New Roman" w:cs="Times New Roman"/>
        </w:rPr>
        <w:t>turi būti pasirašytas saugiu elektroniniu parašu.</w:t>
      </w:r>
    </w:p>
    <w:p w:rsidR="001863B2" w:rsidRPr="00683CEB" w:rsidRDefault="001863B2" w:rsidP="001863B2">
      <w:pPr>
        <w:numPr>
          <w:ilvl w:val="0"/>
          <w:numId w:val="2"/>
        </w:numPr>
        <w:spacing w:after="60" w:line="240" w:lineRule="auto"/>
        <w:ind w:left="540" w:hanging="540"/>
        <w:jc w:val="both"/>
        <w:rPr>
          <w:rFonts w:ascii="Times New Roman" w:hAnsi="Times New Roman" w:cs="Times New Roman"/>
          <w:b/>
          <w:i/>
          <w:u w:val="single"/>
        </w:rPr>
      </w:pPr>
      <w:r w:rsidRPr="00683CEB">
        <w:rPr>
          <w:rFonts w:ascii="Times New Roman" w:hAnsi="Times New Roman" w:cs="Times New Roman"/>
        </w:rPr>
        <w:t xml:space="preserve">Antstolių kontora turi teisę atsisakyti patenkinti prašymą, jeigu suinteresuoto asmens prašymas yra nepagrįstas arba neproporcingas. Antstolių kontora, pateikdama atsisakymą patenkinti prašymą, privalo raštu nurodyti atsisakymo pateikti prašomą informaciją motyvus. Prašymų, paklausimų priėmimo ir atsakymų į juos pateikimo tvarka, nepašalina suinteresuotų asmenų teisės ginti savo teises LR Civilinio proceso kodekso ir kituose teisės aktuose nustatyta tvarka. </w:t>
      </w:r>
    </w:p>
    <w:p w:rsidR="001863B2" w:rsidRPr="00683CEB" w:rsidRDefault="001863B2" w:rsidP="001863B2">
      <w:pPr>
        <w:spacing w:after="60"/>
        <w:ind w:left="540"/>
        <w:jc w:val="center"/>
        <w:rPr>
          <w:rFonts w:ascii="Times New Roman" w:hAnsi="Times New Roman" w:cs="Times New Roman"/>
          <w:b/>
          <w:i/>
          <w:u w:val="single"/>
        </w:rPr>
      </w:pPr>
      <w:r w:rsidRPr="00683CEB">
        <w:rPr>
          <w:rFonts w:ascii="Times New Roman" w:hAnsi="Times New Roman" w:cs="Times New Roman"/>
          <w:b/>
          <w:i/>
          <w:u w:val="single"/>
        </w:rPr>
        <w:t>Detalesnė informacija</w:t>
      </w:r>
    </w:p>
    <w:p w:rsidR="00C869BC" w:rsidRDefault="001863B2" w:rsidP="001863B2">
      <w:pPr>
        <w:spacing w:after="60"/>
        <w:ind w:firstLine="540"/>
        <w:jc w:val="center"/>
      </w:pPr>
      <w:r w:rsidRPr="00683CEB">
        <w:rPr>
          <w:rFonts w:ascii="Times New Roman" w:hAnsi="Times New Roman" w:cs="Times New Roman"/>
          <w:b/>
          <w:i/>
          <w:u w:val="single"/>
        </w:rPr>
        <w:t xml:space="preserve"> dėl prašymų, paklausimų pateikimo tvarkos taip pat  teikiama telefonu 861111255 arba atvykus į Antstolių Aleksandro Selezniovo ir Santos Selezniovienės kontorą, adresu: S. Daukanto g. 13A-14, Klaipėda.</w:t>
      </w:r>
      <w:bookmarkStart w:id="0" w:name="_GoBack"/>
      <w:bookmarkEnd w:id="0"/>
    </w:p>
    <w:sectPr w:rsidR="00C869BC" w:rsidSect="001863B2">
      <w:pgSz w:w="12240" w:h="15840"/>
      <w:pgMar w:top="284" w:right="567"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08D8"/>
    <w:multiLevelType w:val="multilevel"/>
    <w:tmpl w:val="0427001F"/>
    <w:numStyleLink w:val="111111"/>
  </w:abstractNum>
  <w:abstractNum w:abstractNumId="1">
    <w:nsid w:val="0E575253"/>
    <w:multiLevelType w:val="multilevel"/>
    <w:tmpl w:val="042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
  </w:num>
  <w:num w:numId="2">
    <w:abstractNumId w:val="0"/>
    <w:lvlOverride w:ilvl="0">
      <w:lvl w:ilvl="0">
        <w:start w:val="1"/>
        <w:numFmt w:val="decimal"/>
        <w:lvlText w:val="%1."/>
        <w:lvlJc w:val="left"/>
        <w:pPr>
          <w:tabs>
            <w:tab w:val="num" w:pos="360"/>
          </w:tabs>
          <w:ind w:left="360" w:hanging="360"/>
        </w:pPr>
        <w:rPr>
          <w:b w:val="0"/>
        </w:rPr>
      </w:lvl>
    </w:lvlOverride>
    <w:lvlOverride w:ilvl="1">
      <w:lvl w:ilvl="1">
        <w:start w:val="1"/>
        <w:numFmt w:val="decimal"/>
        <w:lvlText w:val="%1.%2."/>
        <w:lvlJc w:val="left"/>
        <w:pPr>
          <w:tabs>
            <w:tab w:val="num" w:pos="858"/>
          </w:tabs>
          <w:ind w:left="858" w:hanging="432"/>
        </w:pPr>
        <w:rPr>
          <w:b w:val="0"/>
        </w:rPr>
      </w:lvl>
    </w:lvlOverride>
    <w:lvlOverride w:ilvl="2">
      <w:lvl w:ilvl="2">
        <w:start w:val="1"/>
        <w:numFmt w:val="decimal"/>
        <w:lvlText w:val="%1.%2.%3."/>
        <w:lvlJc w:val="left"/>
        <w:pPr>
          <w:tabs>
            <w:tab w:val="num" w:pos="1440"/>
          </w:tabs>
          <w:ind w:left="1224" w:hanging="504"/>
        </w:pPr>
      </w:lvl>
    </w:lvlOverride>
    <w:lvlOverride w:ilvl="3">
      <w:lvl w:ilvl="3">
        <w:start w:val="1"/>
        <w:numFmt w:val="decimal"/>
        <w:lvlText w:val="%1.%2.%3.%4."/>
        <w:lvlJc w:val="left"/>
        <w:pPr>
          <w:tabs>
            <w:tab w:val="num" w:pos="2160"/>
          </w:tabs>
          <w:ind w:left="1728" w:hanging="648"/>
        </w:p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5040"/>
          </w:tabs>
          <w:ind w:left="4320" w:hanging="144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FD5"/>
    <w:rsid w:val="001863B2"/>
    <w:rsid w:val="00A11FD5"/>
    <w:rsid w:val="00C86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B2"/>
    <w:pPr>
      <w:spacing w:after="160" w:line="259" w:lineRule="auto"/>
    </w:pPr>
    <w:rPr>
      <w:noProof/>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3B2"/>
    <w:rPr>
      <w:color w:val="0000FF"/>
      <w:u w:val="single"/>
    </w:rPr>
  </w:style>
  <w:style w:type="numbering" w:styleId="111111">
    <w:name w:val="Outline List 2"/>
    <w:basedOn w:val="NoList"/>
    <w:rsid w:val="001863B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3B2"/>
    <w:pPr>
      <w:spacing w:after="160" w:line="259" w:lineRule="auto"/>
    </w:pPr>
    <w:rPr>
      <w:noProof/>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63B2"/>
    <w:rPr>
      <w:color w:val="0000FF"/>
      <w:u w:val="single"/>
    </w:rPr>
  </w:style>
  <w:style w:type="numbering" w:styleId="111111">
    <w:name w:val="Outline List 2"/>
    <w:basedOn w:val="NoList"/>
    <w:rsid w:val="001863B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antstoli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as@antstolis.ne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746</Words>
  <Characters>4255</Characters>
  <Application>Microsoft Office Word</Application>
  <DocSecurity>0</DocSecurity>
  <Lines>35</Lines>
  <Paragraphs>9</Paragraphs>
  <ScaleCrop>false</ScaleCrop>
  <Company/>
  <LinksUpToDate>false</LinksUpToDate>
  <CharactersWithSpaces>4992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AstaV</dc:creator>
  <cp:keywords/>
  <dc:description/>
  <cp:lastModifiedBy>AstaV</cp:lastModifiedBy>
  <cp:revision>2</cp:revision>
  <dcterms:created xsi:type="dcterms:W3CDTF">2018-05-22T08:42:00Z</dcterms:created>
  <dcterms:modified xsi:type="dcterms:W3CDTF">2018-05-22T08:43:00Z</dcterms:modified>
</cp:coreProperties>
</file>